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84" w:rsidRDefault="00777484">
      <w:r w:rsidRPr="00777484">
        <w:drawing>
          <wp:inline distT="0" distB="0" distL="0" distR="0">
            <wp:extent cx="7762875" cy="4429125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77484" w:rsidRDefault="00777484">
      <w:r>
        <w:br w:type="page"/>
      </w:r>
    </w:p>
    <w:p w:rsidR="00777484" w:rsidRDefault="00777484">
      <w:r w:rsidRPr="00777484">
        <w:lastRenderedPageBreak/>
        <w:drawing>
          <wp:inline distT="0" distB="0" distL="0" distR="0">
            <wp:extent cx="7981950" cy="4752975"/>
            <wp:effectExtent l="19050" t="0" r="190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484" w:rsidRDefault="00777484">
      <w:r>
        <w:br w:type="page"/>
      </w:r>
    </w:p>
    <w:p w:rsidR="00777484" w:rsidRDefault="00777484">
      <w:r w:rsidRPr="00777484">
        <w:lastRenderedPageBreak/>
        <w:drawing>
          <wp:inline distT="0" distB="0" distL="0" distR="0">
            <wp:extent cx="8410575" cy="5219700"/>
            <wp:effectExtent l="1905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7484" w:rsidRDefault="00777484">
      <w:r>
        <w:br w:type="page"/>
      </w:r>
    </w:p>
    <w:p w:rsidR="00777484" w:rsidRDefault="00777484">
      <w:r w:rsidRPr="00777484">
        <w:lastRenderedPageBreak/>
        <w:drawing>
          <wp:inline distT="0" distB="0" distL="0" distR="0">
            <wp:extent cx="8982075" cy="4762500"/>
            <wp:effectExtent l="1905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7484" w:rsidRDefault="00777484">
      <w:r>
        <w:br w:type="page"/>
      </w:r>
    </w:p>
    <w:p w:rsidR="00777484" w:rsidRDefault="00777484">
      <w:r w:rsidRPr="00777484">
        <w:lastRenderedPageBreak/>
        <w:drawing>
          <wp:inline distT="0" distB="0" distL="0" distR="0">
            <wp:extent cx="8324850" cy="5048250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484" w:rsidRDefault="00777484">
      <w:r>
        <w:br w:type="page"/>
      </w:r>
    </w:p>
    <w:p w:rsidR="00777484" w:rsidRDefault="00777484">
      <w:r w:rsidRPr="00777484">
        <w:lastRenderedPageBreak/>
        <w:drawing>
          <wp:inline distT="0" distB="0" distL="0" distR="0">
            <wp:extent cx="8020050" cy="516255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484" w:rsidRDefault="00777484">
      <w:r>
        <w:br w:type="page"/>
      </w:r>
    </w:p>
    <w:p w:rsidR="00777484" w:rsidRDefault="00777484">
      <w:r w:rsidRPr="00777484">
        <w:lastRenderedPageBreak/>
        <w:drawing>
          <wp:inline distT="0" distB="0" distL="0" distR="0">
            <wp:extent cx="8562975" cy="4762500"/>
            <wp:effectExtent l="19050" t="0" r="952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484" w:rsidRDefault="00777484">
      <w:r>
        <w:br w:type="page"/>
      </w:r>
    </w:p>
    <w:p w:rsidR="002A0D92" w:rsidRDefault="00777484">
      <w:r w:rsidRPr="00777484">
        <w:lastRenderedPageBreak/>
        <w:drawing>
          <wp:inline distT="0" distB="0" distL="0" distR="0">
            <wp:extent cx="7115175" cy="3209925"/>
            <wp:effectExtent l="19050" t="0" r="9525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A0D92" w:rsidSect="00777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484"/>
    <w:rsid w:val="002A0D92"/>
    <w:rsid w:val="0077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6\AppData\Local\Microsoft\Windows\Temporary%20Internet%20Files\Content.IE5\T9NS8M0D\analiza-%20gimnazja%202014-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Wyniki szkół z egzaminu gimnazjalnego 2014/2015</a:t>
            </a:r>
            <a:r>
              <a:rPr lang="pl-PL" baseline="0"/>
              <a:t>                    </a:t>
            </a:r>
            <a:r>
              <a:rPr lang="pl-PL"/>
              <a:t>Język polski</a:t>
            </a:r>
            <a:r>
              <a:rPr lang="pl-PL" baseline="0"/>
              <a:t> </a:t>
            </a:r>
            <a:endParaRPr lang="pl-PL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Język polski (%)</c:v>
          </c:tx>
          <c:dLbls>
            <c:txPr>
              <a:bodyPr/>
              <a:lstStyle/>
              <a:p>
                <a:pPr>
                  <a:defRPr sz="1200" b="1" baseline="0"/>
                </a:pPr>
                <a:endParaRPr lang="pl-PL"/>
              </a:p>
            </c:txPr>
            <c:showVal val="1"/>
          </c:dLbls>
          <c:cat>
            <c:strRef>
              <c:f>Arkusz2!$A$3:$A$11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Arkusz2!$B$3:$B$11</c:f>
              <c:numCache>
                <c:formatCode>General</c:formatCode>
                <c:ptCount val="9"/>
                <c:pt idx="0">
                  <c:v>58.8</c:v>
                </c:pt>
                <c:pt idx="1">
                  <c:v>63.4</c:v>
                </c:pt>
                <c:pt idx="2">
                  <c:v>60.5</c:v>
                </c:pt>
                <c:pt idx="3">
                  <c:v>57.2</c:v>
                </c:pt>
                <c:pt idx="4">
                  <c:v>72.900000000000006</c:v>
                </c:pt>
                <c:pt idx="5">
                  <c:v>61.7</c:v>
                </c:pt>
                <c:pt idx="6">
                  <c:v>61.2</c:v>
                </c:pt>
                <c:pt idx="7">
                  <c:v>61</c:v>
                </c:pt>
                <c:pt idx="8">
                  <c:v>63.4</c:v>
                </c:pt>
              </c:numCache>
            </c:numRef>
          </c:val>
        </c:ser>
        <c:ser>
          <c:idx val="1"/>
          <c:order val="1"/>
          <c:tx>
            <c:v>Język polski (pkt)</c:v>
          </c:tx>
          <c:dLbls>
            <c:txPr>
              <a:bodyPr/>
              <a:lstStyle/>
              <a:p>
                <a:pPr>
                  <a:defRPr sz="1200" b="1" baseline="0"/>
                </a:pPr>
                <a:endParaRPr lang="pl-PL"/>
              </a:p>
            </c:txPr>
            <c:showVal val="1"/>
          </c:dLbls>
          <c:val>
            <c:numRef>
              <c:f>Arkusz2!$C$3:$C$11</c:f>
              <c:numCache>
                <c:formatCode>General</c:formatCode>
                <c:ptCount val="9"/>
                <c:pt idx="0">
                  <c:v>18.8</c:v>
                </c:pt>
                <c:pt idx="1">
                  <c:v>20.3</c:v>
                </c:pt>
                <c:pt idx="2">
                  <c:v>19.3</c:v>
                </c:pt>
                <c:pt idx="3">
                  <c:v>18.3</c:v>
                </c:pt>
                <c:pt idx="4">
                  <c:v>23.3</c:v>
                </c:pt>
                <c:pt idx="5">
                  <c:v>19.7</c:v>
                </c:pt>
                <c:pt idx="6">
                  <c:v>19.600000000000001</c:v>
                </c:pt>
                <c:pt idx="7">
                  <c:v>19.399999999999999</c:v>
                </c:pt>
                <c:pt idx="8">
                  <c:v>20.3</c:v>
                </c:pt>
              </c:numCache>
            </c:numRef>
          </c:val>
        </c:ser>
        <c:dLbls>
          <c:showVal val="1"/>
        </c:dLbls>
        <c:shape val="box"/>
        <c:axId val="128981632"/>
        <c:axId val="129023360"/>
        <c:axId val="0"/>
      </c:bar3DChart>
      <c:catAx>
        <c:axId val="1289816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 i="0" baseline="0"/>
            </a:pPr>
            <a:endParaRPr lang="pl-PL"/>
          </a:p>
        </c:txPr>
        <c:crossAx val="129023360"/>
        <c:crosses val="autoZero"/>
        <c:auto val="1"/>
        <c:lblAlgn val="ctr"/>
        <c:lblOffset val="100"/>
      </c:catAx>
      <c:valAx>
        <c:axId val="129023360"/>
        <c:scaling>
          <c:orientation val="minMax"/>
          <c:max val="100"/>
        </c:scaling>
        <c:delete val="1"/>
        <c:axPos val="l"/>
        <c:numFmt formatCode="General" sourceLinked="1"/>
        <c:tickLblPos val="none"/>
        <c:crossAx val="128981632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 baseline="0"/>
          </a:pPr>
          <a:endParaRPr lang="pl-PL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Wyniki szkół</a:t>
            </a:r>
            <a:r>
              <a:rPr lang="pl-PL" baseline="0"/>
              <a:t> z egzaminu gimnazjalnego 2014/2015</a:t>
            </a:r>
          </a:p>
          <a:p>
            <a:pPr>
              <a:defRPr/>
            </a:pPr>
            <a:r>
              <a:rPr lang="pl-PL" baseline="0"/>
              <a:t>Historia i WOS                             </a:t>
            </a:r>
            <a:endParaRPr lang="pl-PL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Język polski (%)</c:v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pl-PL"/>
              </a:p>
            </c:txPr>
            <c:showVal val="1"/>
          </c:dLbls>
          <c:cat>
            <c:strRef>
              <c:f>Arkusz2!$A$30:$A$38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Arkusz2!$B$30:$B$38</c:f>
              <c:numCache>
                <c:formatCode>General</c:formatCode>
                <c:ptCount val="9"/>
                <c:pt idx="0">
                  <c:v>63.2</c:v>
                </c:pt>
                <c:pt idx="1">
                  <c:v>65</c:v>
                </c:pt>
                <c:pt idx="2">
                  <c:v>68.099999999999994</c:v>
                </c:pt>
                <c:pt idx="3">
                  <c:v>65.400000000000006</c:v>
                </c:pt>
                <c:pt idx="4">
                  <c:v>71.7</c:v>
                </c:pt>
                <c:pt idx="5">
                  <c:v>64.2</c:v>
                </c:pt>
                <c:pt idx="6">
                  <c:v>65.8</c:v>
                </c:pt>
                <c:pt idx="7">
                  <c:v>63.8</c:v>
                </c:pt>
                <c:pt idx="8">
                  <c:v>66.400000000000006</c:v>
                </c:pt>
              </c:numCache>
            </c:numRef>
          </c:val>
        </c:ser>
        <c:ser>
          <c:idx val="1"/>
          <c:order val="1"/>
          <c:tx>
            <c:v>Język polski (pkt)</c:v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pl-PL"/>
              </a:p>
            </c:txPr>
            <c:showVal val="1"/>
          </c:dLbls>
          <c:val>
            <c:numRef>
              <c:f>Arkusz2!$C$30:$C$38</c:f>
              <c:numCache>
                <c:formatCode>General</c:formatCode>
                <c:ptCount val="9"/>
                <c:pt idx="0">
                  <c:v>20.2</c:v>
                </c:pt>
                <c:pt idx="1">
                  <c:v>20.8</c:v>
                </c:pt>
                <c:pt idx="2">
                  <c:v>21.8</c:v>
                </c:pt>
                <c:pt idx="3">
                  <c:v>20.9</c:v>
                </c:pt>
                <c:pt idx="4">
                  <c:v>23</c:v>
                </c:pt>
                <c:pt idx="5">
                  <c:v>20.5</c:v>
                </c:pt>
                <c:pt idx="6">
                  <c:v>21.1</c:v>
                </c:pt>
                <c:pt idx="7">
                  <c:v>20.399999999999999</c:v>
                </c:pt>
                <c:pt idx="8">
                  <c:v>21.3</c:v>
                </c:pt>
              </c:numCache>
            </c:numRef>
          </c:val>
        </c:ser>
        <c:dLbls>
          <c:showVal val="1"/>
        </c:dLbls>
        <c:shape val="box"/>
        <c:axId val="103142144"/>
        <c:axId val="103143680"/>
        <c:axId val="0"/>
      </c:bar3DChart>
      <c:catAx>
        <c:axId val="1031421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 i="0" baseline="0"/>
            </a:pPr>
            <a:endParaRPr lang="pl-PL"/>
          </a:p>
        </c:txPr>
        <c:crossAx val="103143680"/>
        <c:crosses val="autoZero"/>
        <c:auto val="1"/>
        <c:lblAlgn val="ctr"/>
        <c:lblOffset val="100"/>
      </c:catAx>
      <c:valAx>
        <c:axId val="103143680"/>
        <c:scaling>
          <c:orientation val="minMax"/>
        </c:scaling>
        <c:delete val="1"/>
        <c:axPos val="l"/>
        <c:numFmt formatCode="General" sourceLinked="1"/>
        <c:tickLblPos val="none"/>
        <c:crossAx val="103142144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/>
          </a:pPr>
          <a:endParaRPr lang="pl-PL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/>
            </a:pPr>
            <a:r>
              <a:rPr lang="en-US"/>
              <a:t>Wyniki szkół z</a:t>
            </a:r>
            <a:r>
              <a:rPr lang="pl-PL"/>
              <a:t> egzaminu gimnazjalnego</a:t>
            </a:r>
            <a:r>
              <a:rPr lang="pl-PL" baseline="0"/>
              <a:t> 2014/2015 </a:t>
            </a:r>
          </a:p>
          <a:p>
            <a:pPr>
              <a:defRPr/>
            </a:pPr>
            <a:r>
              <a:rPr lang="pl-PL" baseline="0"/>
              <a:t>Matematyka</a:t>
            </a:r>
            <a:r>
              <a:rPr lang="en-US"/>
              <a:t>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Matematyka (%)</c:v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pl-PL"/>
              </a:p>
            </c:txPr>
            <c:showVal val="1"/>
          </c:dLbls>
          <c:cat>
            <c:strRef>
              <c:f>Arkusz2!$A$50:$A$58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Arkusz2!$B$50:$B$58</c:f>
              <c:numCache>
                <c:formatCode>General</c:formatCode>
                <c:ptCount val="9"/>
                <c:pt idx="0">
                  <c:v>47.7</c:v>
                </c:pt>
                <c:pt idx="1">
                  <c:v>56.5</c:v>
                </c:pt>
                <c:pt idx="2">
                  <c:v>50.6</c:v>
                </c:pt>
                <c:pt idx="3">
                  <c:v>37.4</c:v>
                </c:pt>
                <c:pt idx="4">
                  <c:v>56.4</c:v>
                </c:pt>
                <c:pt idx="5">
                  <c:v>45</c:v>
                </c:pt>
                <c:pt idx="6">
                  <c:v>49.2</c:v>
                </c:pt>
                <c:pt idx="7">
                  <c:v>47.8</c:v>
                </c:pt>
                <c:pt idx="8">
                  <c:v>51.4</c:v>
                </c:pt>
              </c:numCache>
            </c:numRef>
          </c:val>
        </c:ser>
        <c:ser>
          <c:idx val="1"/>
          <c:order val="1"/>
          <c:tx>
            <c:v>Matematyka (pkt)</c:v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pl-PL"/>
              </a:p>
            </c:txPr>
            <c:showVal val="1"/>
          </c:dLbls>
          <c:cat>
            <c:strRef>
              <c:f>Arkusz2!$A$50:$A$58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Arkusz2!$C$50:$C$58</c:f>
              <c:numCache>
                <c:formatCode>General</c:formatCode>
                <c:ptCount val="9"/>
                <c:pt idx="0">
                  <c:v>13.8</c:v>
                </c:pt>
                <c:pt idx="1">
                  <c:v>16.399999999999999</c:v>
                </c:pt>
                <c:pt idx="2">
                  <c:v>14.7</c:v>
                </c:pt>
                <c:pt idx="3">
                  <c:v>10.9</c:v>
                </c:pt>
                <c:pt idx="4">
                  <c:v>16.399999999999999</c:v>
                </c:pt>
                <c:pt idx="5">
                  <c:v>13.1</c:v>
                </c:pt>
                <c:pt idx="6">
                  <c:v>14.3</c:v>
                </c:pt>
                <c:pt idx="7">
                  <c:v>13.9</c:v>
                </c:pt>
                <c:pt idx="8">
                  <c:v>14.9</c:v>
                </c:pt>
              </c:numCache>
            </c:numRef>
          </c:val>
        </c:ser>
        <c:dLbls>
          <c:showVal val="1"/>
        </c:dLbls>
        <c:shape val="box"/>
        <c:axId val="118239232"/>
        <c:axId val="118240768"/>
        <c:axId val="0"/>
      </c:bar3DChart>
      <c:catAx>
        <c:axId val="1182392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 i="0" baseline="0"/>
            </a:pPr>
            <a:endParaRPr lang="pl-PL"/>
          </a:p>
        </c:txPr>
        <c:crossAx val="118240768"/>
        <c:crosses val="autoZero"/>
        <c:auto val="1"/>
        <c:lblAlgn val="ctr"/>
        <c:lblOffset val="100"/>
      </c:catAx>
      <c:valAx>
        <c:axId val="118240768"/>
        <c:scaling>
          <c:orientation val="minMax"/>
        </c:scaling>
        <c:delete val="1"/>
        <c:axPos val="l"/>
        <c:numFmt formatCode="General" sourceLinked="1"/>
        <c:tickLblPos val="none"/>
        <c:crossAx val="118239232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/>
          </a:pPr>
          <a:endParaRPr lang="pl-PL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/>
            </a:pPr>
            <a:r>
              <a:rPr lang="en-US"/>
              <a:t>Wyniki szkół z egzaminu gimnazjalnego 2014/2015</a:t>
            </a:r>
            <a:endParaRPr lang="pl-PL"/>
          </a:p>
          <a:p>
            <a:pPr>
              <a:defRPr/>
            </a:pPr>
            <a:r>
              <a:rPr lang="pl-PL"/>
              <a:t>Przedmioty</a:t>
            </a:r>
            <a:r>
              <a:rPr lang="pl-PL" baseline="0"/>
              <a:t> przyrodnicze</a:t>
            </a:r>
            <a:endParaRPr lang="en-U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Przedmioty przyrodnicze (%)</c:v>
          </c:tx>
          <c:dLbls>
            <c:txPr>
              <a:bodyPr/>
              <a:lstStyle/>
              <a:p>
                <a:pPr>
                  <a:defRPr sz="1200" b="1" baseline="0"/>
                </a:pPr>
                <a:endParaRPr lang="pl-PL"/>
              </a:p>
            </c:txPr>
            <c:showVal val="1"/>
          </c:dLbls>
          <c:cat>
            <c:strRef>
              <c:f>Arkusz2!$A$82:$A$90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Arkusz2!$B$82:$B$90</c:f>
              <c:numCache>
                <c:formatCode>General</c:formatCode>
                <c:ptCount val="9"/>
                <c:pt idx="0">
                  <c:v>51.6</c:v>
                </c:pt>
                <c:pt idx="1">
                  <c:v>55</c:v>
                </c:pt>
                <c:pt idx="2">
                  <c:v>49</c:v>
                </c:pt>
                <c:pt idx="3">
                  <c:v>42</c:v>
                </c:pt>
                <c:pt idx="4">
                  <c:v>54.9</c:v>
                </c:pt>
                <c:pt idx="5">
                  <c:v>53.6</c:v>
                </c:pt>
                <c:pt idx="6">
                  <c:v>50.7</c:v>
                </c:pt>
                <c:pt idx="7">
                  <c:v>49.8</c:v>
                </c:pt>
                <c:pt idx="8">
                  <c:v>52.1</c:v>
                </c:pt>
              </c:numCache>
            </c:numRef>
          </c:val>
        </c:ser>
        <c:ser>
          <c:idx val="1"/>
          <c:order val="1"/>
          <c:tx>
            <c:v>Przedmioty przyrodnicze (pkt)</c:v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pl-PL"/>
              </a:p>
            </c:txPr>
            <c:showVal val="1"/>
          </c:dLbls>
          <c:val>
            <c:numRef>
              <c:f>Arkusz2!$C$82:$C$90</c:f>
              <c:numCache>
                <c:formatCode>General</c:formatCode>
                <c:ptCount val="9"/>
                <c:pt idx="0">
                  <c:v>14.3</c:v>
                </c:pt>
                <c:pt idx="1">
                  <c:v>15.4</c:v>
                </c:pt>
                <c:pt idx="2">
                  <c:v>13.7</c:v>
                </c:pt>
                <c:pt idx="3">
                  <c:v>11.8</c:v>
                </c:pt>
                <c:pt idx="4">
                  <c:v>15.4</c:v>
                </c:pt>
                <c:pt idx="5">
                  <c:v>15</c:v>
                </c:pt>
                <c:pt idx="6">
                  <c:v>14.2</c:v>
                </c:pt>
                <c:pt idx="7">
                  <c:v>13.9</c:v>
                </c:pt>
                <c:pt idx="8">
                  <c:v>14.6</c:v>
                </c:pt>
              </c:numCache>
            </c:numRef>
          </c:val>
        </c:ser>
        <c:dLbls>
          <c:showVal val="1"/>
        </c:dLbls>
        <c:shape val="box"/>
        <c:axId val="118258688"/>
        <c:axId val="118276864"/>
        <c:axId val="0"/>
      </c:bar3DChart>
      <c:catAx>
        <c:axId val="1182586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118276864"/>
        <c:crosses val="autoZero"/>
        <c:auto val="1"/>
        <c:lblAlgn val="ctr"/>
        <c:lblOffset val="100"/>
      </c:catAx>
      <c:valAx>
        <c:axId val="118276864"/>
        <c:scaling>
          <c:orientation val="minMax"/>
        </c:scaling>
        <c:delete val="1"/>
        <c:axPos val="l"/>
        <c:numFmt formatCode="General" sourceLinked="1"/>
        <c:tickLblPos val="none"/>
        <c:crossAx val="11825868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 i="0" baseline="0"/>
          </a:pPr>
          <a:endParaRPr lang="pl-PL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Wyniki</a:t>
            </a:r>
            <a:r>
              <a:rPr lang="pl-PL" baseline="0"/>
              <a:t> szkół z egzaminu gimnazjalnego 2014/2015</a:t>
            </a:r>
          </a:p>
          <a:p>
            <a:pPr>
              <a:defRPr/>
            </a:pPr>
            <a:r>
              <a:rPr lang="pl-PL" baseline="0"/>
              <a:t>Język angielski- poziom podstawowy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Język angielski (%)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cat>
            <c:strRef>
              <c:f>Arkusz2!$A$109:$A$117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Arkusz2!$B$109:$B$117</c:f>
              <c:numCache>
                <c:formatCode>General</c:formatCode>
                <c:ptCount val="9"/>
                <c:pt idx="0">
                  <c:v>62.3</c:v>
                </c:pt>
                <c:pt idx="1">
                  <c:v>70.099999999999994</c:v>
                </c:pt>
                <c:pt idx="2">
                  <c:v>58.9</c:v>
                </c:pt>
                <c:pt idx="3">
                  <c:v>64.3</c:v>
                </c:pt>
                <c:pt idx="4">
                  <c:v>75.5</c:v>
                </c:pt>
                <c:pt idx="5">
                  <c:v>73.599999999999994</c:v>
                </c:pt>
                <c:pt idx="6">
                  <c:v>65</c:v>
                </c:pt>
                <c:pt idx="7">
                  <c:v>63.1</c:v>
                </c:pt>
                <c:pt idx="8">
                  <c:v>67.8</c:v>
                </c:pt>
              </c:numCache>
            </c:numRef>
          </c:val>
        </c:ser>
        <c:ser>
          <c:idx val="1"/>
          <c:order val="1"/>
          <c:tx>
            <c:v>Język angielski (pkt)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val>
            <c:numRef>
              <c:f>Arkusz2!$C$109:$C$117</c:f>
              <c:numCache>
                <c:formatCode>General</c:formatCode>
                <c:ptCount val="9"/>
                <c:pt idx="0">
                  <c:v>24.9</c:v>
                </c:pt>
                <c:pt idx="1">
                  <c:v>28</c:v>
                </c:pt>
                <c:pt idx="2">
                  <c:v>23.6</c:v>
                </c:pt>
                <c:pt idx="3">
                  <c:v>25.7</c:v>
                </c:pt>
                <c:pt idx="4">
                  <c:v>30.2</c:v>
                </c:pt>
                <c:pt idx="5">
                  <c:v>29.4</c:v>
                </c:pt>
                <c:pt idx="6">
                  <c:v>26</c:v>
                </c:pt>
                <c:pt idx="7">
                  <c:v>25.2</c:v>
                </c:pt>
                <c:pt idx="8">
                  <c:v>27.1</c:v>
                </c:pt>
              </c:numCache>
            </c:numRef>
          </c:val>
        </c:ser>
        <c:dLbls>
          <c:showVal val="1"/>
        </c:dLbls>
        <c:shape val="box"/>
        <c:axId val="103225600"/>
        <c:axId val="103235584"/>
        <c:axId val="0"/>
      </c:bar3DChart>
      <c:catAx>
        <c:axId val="1032256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103235584"/>
        <c:crosses val="autoZero"/>
        <c:auto val="1"/>
        <c:lblAlgn val="ctr"/>
        <c:lblOffset val="100"/>
      </c:catAx>
      <c:valAx>
        <c:axId val="103235584"/>
        <c:scaling>
          <c:orientation val="minMax"/>
        </c:scaling>
        <c:delete val="1"/>
        <c:axPos val="l"/>
        <c:numFmt formatCode="General" sourceLinked="1"/>
        <c:tickLblPos val="none"/>
        <c:crossAx val="103225600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/>
          </a:pPr>
          <a:endParaRPr lang="pl-PL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Wyniki</a:t>
            </a:r>
            <a:r>
              <a:rPr lang="pl-PL" baseline="0"/>
              <a:t> szkół z egzaminu gimnazjalnego 2014/2015</a:t>
            </a:r>
          </a:p>
          <a:p>
            <a:pPr>
              <a:defRPr/>
            </a:pPr>
            <a:r>
              <a:rPr lang="pl-PL" baseline="0"/>
              <a:t>język angielski- poziom rozszerzony</a:t>
            </a:r>
            <a:endParaRPr lang="pl-PL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Język angielski (%)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cat>
            <c:strRef>
              <c:f>Arkusz2!$A$137:$A$145</c:f>
              <c:strCache>
                <c:ptCount val="9"/>
                <c:pt idx="0">
                  <c:v>Gim. Krempachy</c:v>
                </c:pt>
                <c:pt idx="1">
                  <c:v>Gim. Ludźmierz</c:v>
                </c:pt>
                <c:pt idx="2">
                  <c:v>Gim. Klikuszowa</c:v>
                </c:pt>
                <c:pt idx="3">
                  <c:v>Gim. Gronków</c:v>
                </c:pt>
                <c:pt idx="4">
                  <c:v>Gim. Łopuszna</c:v>
                </c:pt>
                <c:pt idx="5">
                  <c:v>Gim. Waksmund</c:v>
                </c:pt>
                <c:pt idx="6">
                  <c:v>Gmina</c:v>
                </c:pt>
                <c:pt idx="7">
                  <c:v>Powiat</c:v>
                </c:pt>
                <c:pt idx="8">
                  <c:v>Województwo</c:v>
                </c:pt>
              </c:strCache>
            </c:strRef>
          </c:cat>
          <c:val>
            <c:numRef>
              <c:f>Arkusz2!$B$137:$B$145</c:f>
              <c:numCache>
                <c:formatCode>General</c:formatCode>
                <c:ptCount val="9"/>
                <c:pt idx="0">
                  <c:v>34.5</c:v>
                </c:pt>
                <c:pt idx="1">
                  <c:v>47.4</c:v>
                </c:pt>
                <c:pt idx="2">
                  <c:v>33.9</c:v>
                </c:pt>
                <c:pt idx="3">
                  <c:v>41.2</c:v>
                </c:pt>
                <c:pt idx="4">
                  <c:v>58</c:v>
                </c:pt>
                <c:pt idx="5">
                  <c:v>52.4</c:v>
                </c:pt>
                <c:pt idx="6">
                  <c:v>40.700000000000003</c:v>
                </c:pt>
                <c:pt idx="7">
                  <c:v>41.4</c:v>
                </c:pt>
                <c:pt idx="8">
                  <c:v>47.4</c:v>
                </c:pt>
              </c:numCache>
            </c:numRef>
          </c:val>
        </c:ser>
        <c:ser>
          <c:idx val="1"/>
          <c:order val="1"/>
          <c:tx>
            <c:v>Język angielski (pkt)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val>
            <c:numRef>
              <c:f>Arkusz2!$C$137:$C$145</c:f>
              <c:numCache>
                <c:formatCode>General</c:formatCode>
                <c:ptCount val="9"/>
                <c:pt idx="0">
                  <c:v>13.8</c:v>
                </c:pt>
                <c:pt idx="1">
                  <c:v>19</c:v>
                </c:pt>
                <c:pt idx="2">
                  <c:v>13.6</c:v>
                </c:pt>
                <c:pt idx="3">
                  <c:v>16.5</c:v>
                </c:pt>
                <c:pt idx="4">
                  <c:v>23.2</c:v>
                </c:pt>
                <c:pt idx="5">
                  <c:v>21</c:v>
                </c:pt>
                <c:pt idx="6">
                  <c:v>16.3</c:v>
                </c:pt>
                <c:pt idx="7">
                  <c:v>16.600000000000001</c:v>
                </c:pt>
                <c:pt idx="8">
                  <c:v>19</c:v>
                </c:pt>
              </c:numCache>
            </c:numRef>
          </c:val>
        </c:ser>
        <c:dLbls>
          <c:showVal val="1"/>
        </c:dLbls>
        <c:shape val="box"/>
        <c:axId val="103269888"/>
        <c:axId val="103271424"/>
        <c:axId val="0"/>
      </c:bar3DChart>
      <c:catAx>
        <c:axId val="1032698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103271424"/>
        <c:crosses val="autoZero"/>
        <c:auto val="1"/>
        <c:lblAlgn val="ctr"/>
        <c:lblOffset val="100"/>
      </c:catAx>
      <c:valAx>
        <c:axId val="103271424"/>
        <c:scaling>
          <c:orientation val="minMax"/>
        </c:scaling>
        <c:delete val="1"/>
        <c:axPos val="l"/>
        <c:numFmt formatCode="General" sourceLinked="1"/>
        <c:tickLblPos val="none"/>
        <c:crossAx val="10326988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/>
          </a:pPr>
          <a:endParaRPr lang="pl-PL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Wyniki szkół</a:t>
            </a:r>
            <a:r>
              <a:rPr lang="pl-PL" baseline="0"/>
              <a:t> z egzaminu gimnazjalnego 2014/2015</a:t>
            </a:r>
          </a:p>
          <a:p>
            <a:pPr>
              <a:defRPr/>
            </a:pPr>
            <a:r>
              <a:rPr lang="pl-PL" baseline="0"/>
              <a:t>Język niemiecki- poziom podstawowy</a:t>
            </a:r>
          </a:p>
        </c:rich>
      </c:tx>
      <c:layout>
        <c:manualLayout>
          <c:xMode val="edge"/>
          <c:yMode val="edge"/>
          <c:x val="0.19794220720506131"/>
          <c:y val="2.180684823341227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Język niemiecki (%)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cat>
            <c:strRef>
              <c:f>Arkusz2!$A$167:$A$173</c:f>
              <c:strCache>
                <c:ptCount val="7"/>
                <c:pt idx="0">
                  <c:v>Gim. Krempachy</c:v>
                </c:pt>
                <c:pt idx="1">
                  <c:v>Gim. Klikuszowa</c:v>
                </c:pt>
                <c:pt idx="2">
                  <c:v>Gim. Łopuszna</c:v>
                </c:pt>
                <c:pt idx="3">
                  <c:v>Gim. Waksmund</c:v>
                </c:pt>
                <c:pt idx="4">
                  <c:v>Gmina</c:v>
                </c:pt>
                <c:pt idx="5">
                  <c:v>Powiat</c:v>
                </c:pt>
                <c:pt idx="6">
                  <c:v>Województwo</c:v>
                </c:pt>
              </c:strCache>
            </c:strRef>
          </c:cat>
          <c:val>
            <c:numRef>
              <c:f>Arkusz2!$B$167:$B$173</c:f>
              <c:numCache>
                <c:formatCode>General</c:formatCode>
                <c:ptCount val="7"/>
                <c:pt idx="0">
                  <c:v>55.6</c:v>
                </c:pt>
                <c:pt idx="1">
                  <c:v>53.3</c:v>
                </c:pt>
                <c:pt idx="2">
                  <c:v>54.2</c:v>
                </c:pt>
                <c:pt idx="3">
                  <c:v>48</c:v>
                </c:pt>
                <c:pt idx="4">
                  <c:v>52</c:v>
                </c:pt>
                <c:pt idx="5">
                  <c:v>55.1</c:v>
                </c:pt>
                <c:pt idx="6">
                  <c:v>58.2</c:v>
                </c:pt>
              </c:numCache>
            </c:numRef>
          </c:val>
        </c:ser>
        <c:ser>
          <c:idx val="1"/>
          <c:order val="1"/>
          <c:tx>
            <c:v>Język niemiecki (pkt)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val>
            <c:numRef>
              <c:f>Arkusz2!$C$167:$C$173</c:f>
              <c:numCache>
                <c:formatCode>General</c:formatCode>
                <c:ptCount val="7"/>
                <c:pt idx="0">
                  <c:v>22.3</c:v>
                </c:pt>
                <c:pt idx="1">
                  <c:v>21.3</c:v>
                </c:pt>
                <c:pt idx="2">
                  <c:v>21.7</c:v>
                </c:pt>
                <c:pt idx="3">
                  <c:v>19.2</c:v>
                </c:pt>
                <c:pt idx="4">
                  <c:v>20.8</c:v>
                </c:pt>
                <c:pt idx="5">
                  <c:v>22</c:v>
                </c:pt>
                <c:pt idx="6">
                  <c:v>23.3</c:v>
                </c:pt>
              </c:numCache>
            </c:numRef>
          </c:val>
        </c:ser>
        <c:dLbls>
          <c:showVal val="1"/>
        </c:dLbls>
        <c:shape val="box"/>
        <c:axId val="99382016"/>
        <c:axId val="99383552"/>
        <c:axId val="0"/>
      </c:bar3DChart>
      <c:catAx>
        <c:axId val="99382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99383552"/>
        <c:crosses val="autoZero"/>
        <c:auto val="1"/>
        <c:lblAlgn val="ctr"/>
        <c:lblOffset val="100"/>
      </c:catAx>
      <c:valAx>
        <c:axId val="99383552"/>
        <c:scaling>
          <c:orientation val="minMax"/>
        </c:scaling>
        <c:delete val="1"/>
        <c:axPos val="l"/>
        <c:numFmt formatCode="General" sourceLinked="1"/>
        <c:tickLblPos val="none"/>
        <c:crossAx val="9938201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/>
          </a:pPr>
          <a:endParaRPr lang="pl-PL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Wyniki z egzaminu gimnazjalnego</a:t>
            </a:r>
            <a:r>
              <a:rPr lang="pl-PL" baseline="0"/>
              <a:t> 2014/2015 </a:t>
            </a:r>
          </a:p>
          <a:p>
            <a:pPr>
              <a:defRPr/>
            </a:pPr>
            <a:r>
              <a:rPr lang="pl-PL" baseline="0"/>
              <a:t>język niemiecki- poziom rozszerzony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Język niemiecki (%)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cat>
            <c:strRef>
              <c:f>Arkusz2!$A$197:$A$200</c:f>
              <c:strCache>
                <c:ptCount val="4"/>
                <c:pt idx="0">
                  <c:v>Gim. Klikuszowa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</c:strCache>
            </c:strRef>
          </c:cat>
          <c:val>
            <c:numRef>
              <c:f>Arkusz2!$B$197:$B$200</c:f>
              <c:numCache>
                <c:formatCode>General</c:formatCode>
                <c:ptCount val="4"/>
                <c:pt idx="0">
                  <c:v>30.8</c:v>
                </c:pt>
                <c:pt idx="1">
                  <c:v>30.8</c:v>
                </c:pt>
                <c:pt idx="2">
                  <c:v>39.700000000000003</c:v>
                </c:pt>
                <c:pt idx="3">
                  <c:v>47.9</c:v>
                </c:pt>
              </c:numCache>
            </c:numRef>
          </c:val>
        </c:ser>
        <c:ser>
          <c:idx val="1"/>
          <c:order val="1"/>
          <c:tx>
            <c:v>jezyk nemiecki (pkt)</c:v>
          </c:tx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val>
            <c:numRef>
              <c:f>Arkusz2!$C$197:$C$200</c:f>
              <c:numCache>
                <c:formatCode>General</c:formatCode>
                <c:ptCount val="4"/>
                <c:pt idx="0">
                  <c:v>12.3</c:v>
                </c:pt>
                <c:pt idx="1">
                  <c:v>12.3</c:v>
                </c:pt>
                <c:pt idx="2">
                  <c:v>15.9</c:v>
                </c:pt>
                <c:pt idx="3">
                  <c:v>19.100000000000001</c:v>
                </c:pt>
              </c:numCache>
            </c:numRef>
          </c:val>
        </c:ser>
        <c:dLbls>
          <c:showVal val="1"/>
        </c:dLbls>
        <c:shape val="box"/>
        <c:axId val="99414016"/>
        <c:axId val="99415552"/>
        <c:axId val="0"/>
      </c:bar3DChart>
      <c:catAx>
        <c:axId val="99414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99415552"/>
        <c:crosses val="autoZero"/>
        <c:auto val="1"/>
        <c:lblAlgn val="ctr"/>
        <c:lblOffset val="100"/>
      </c:catAx>
      <c:valAx>
        <c:axId val="99415552"/>
        <c:scaling>
          <c:orientation val="minMax"/>
        </c:scaling>
        <c:delete val="1"/>
        <c:axPos val="l"/>
        <c:numFmt formatCode="General" sourceLinked="1"/>
        <c:tickLblPos val="none"/>
        <c:crossAx val="9941401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/>
          </a:pPr>
          <a:endParaRPr lang="pl-PL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2015-06-25T11:33:00Z</dcterms:created>
  <dcterms:modified xsi:type="dcterms:W3CDTF">2015-06-25T11:42:00Z</dcterms:modified>
</cp:coreProperties>
</file>